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F706" w14:textId="77777777" w:rsidR="007B7526" w:rsidRPr="007B7526" w:rsidRDefault="007B7526" w:rsidP="007B7526">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7B7526">
        <w:rPr>
          <w:rFonts w:ascii="Times New Roman" w:eastAsia="Times New Roman" w:hAnsi="Times New Roman" w:cs="Times New Roman"/>
          <w:b/>
          <w:bCs/>
          <w:sz w:val="36"/>
          <w:szCs w:val="36"/>
          <w:lang w:eastAsia="en-IN"/>
        </w:rPr>
        <w:t>Water Ecological Restoration in Beijing</w:t>
      </w:r>
    </w:p>
    <w:p w14:paraId="278B7CAB" w14:textId="77777777" w:rsidR="007B7526" w:rsidRPr="007B7526" w:rsidRDefault="007B7526" w:rsidP="007B7526">
      <w:pPr>
        <w:spacing w:before="100" w:beforeAutospacing="1" w:after="100" w:afterAutospacing="1" w:line="240" w:lineRule="auto"/>
        <w:rPr>
          <w:rFonts w:ascii="Times New Roman" w:eastAsia="Times New Roman" w:hAnsi="Times New Roman" w:cs="Times New Roman"/>
          <w:sz w:val="24"/>
          <w:szCs w:val="24"/>
          <w:lang w:eastAsia="en-IN"/>
        </w:rPr>
      </w:pPr>
      <w:r w:rsidRPr="007B7526">
        <w:rPr>
          <w:rFonts w:ascii="Times New Roman" w:eastAsia="Times New Roman" w:hAnsi="Times New Roman" w:cs="Times New Roman"/>
          <w:sz w:val="24"/>
          <w:szCs w:val="24"/>
          <w:lang w:eastAsia="en-IN"/>
        </w:rPr>
        <w:t xml:space="preserve">Wei </w:t>
      </w:r>
      <w:proofErr w:type="spellStart"/>
      <w:r w:rsidRPr="007B7526">
        <w:rPr>
          <w:rFonts w:ascii="Times New Roman" w:eastAsia="Times New Roman" w:hAnsi="Times New Roman" w:cs="Times New Roman"/>
          <w:sz w:val="24"/>
          <w:szCs w:val="24"/>
          <w:lang w:eastAsia="en-IN"/>
        </w:rPr>
        <w:t>Baoyi</w:t>
      </w:r>
      <w:proofErr w:type="spellEnd"/>
      <w:r w:rsidRPr="007B7526">
        <w:rPr>
          <w:rFonts w:ascii="Times New Roman" w:eastAsia="Times New Roman" w:hAnsi="Times New Roman" w:cs="Times New Roman"/>
          <w:sz w:val="24"/>
          <w:szCs w:val="24"/>
          <w:lang w:eastAsia="en-IN"/>
        </w:rPr>
        <w:t>, senior engineer, Deputy Director of Ecological Planning Institute, BICP, spoke about the "Beijing Water Ecological Restoration and Conservation Planning and Implementation under the Background of Climate Adaptation".</w:t>
      </w:r>
    </w:p>
    <w:p w14:paraId="2D3A7DA5" w14:textId="77777777" w:rsidR="007B7526" w:rsidRPr="007B7526" w:rsidRDefault="007B7526" w:rsidP="007B7526">
      <w:pPr>
        <w:spacing w:before="100" w:beforeAutospacing="1" w:after="100" w:afterAutospacing="1" w:line="240" w:lineRule="auto"/>
        <w:rPr>
          <w:rFonts w:ascii="Times New Roman" w:eastAsia="Times New Roman" w:hAnsi="Times New Roman" w:cs="Times New Roman"/>
          <w:sz w:val="24"/>
          <w:szCs w:val="24"/>
          <w:lang w:eastAsia="en-IN"/>
        </w:rPr>
      </w:pPr>
      <w:r w:rsidRPr="007B7526">
        <w:rPr>
          <w:rFonts w:ascii="Times New Roman" w:eastAsia="Times New Roman" w:hAnsi="Times New Roman" w:cs="Times New Roman"/>
          <w:sz w:val="24"/>
          <w:szCs w:val="24"/>
          <w:lang w:eastAsia="en-IN"/>
        </w:rPr>
        <w:t xml:space="preserve">A long-term and coordinated approach to eco-restoration has helped to improve the water quantity and quality in the five rivers of Beijing: </w:t>
      </w:r>
      <w:proofErr w:type="spellStart"/>
      <w:r w:rsidRPr="007B7526">
        <w:rPr>
          <w:rFonts w:ascii="Times New Roman" w:eastAsia="Times New Roman" w:hAnsi="Times New Roman" w:cs="Times New Roman"/>
          <w:sz w:val="24"/>
          <w:szCs w:val="24"/>
          <w:lang w:eastAsia="en-IN"/>
        </w:rPr>
        <w:t>Chaobai</w:t>
      </w:r>
      <w:proofErr w:type="spellEnd"/>
      <w:r w:rsidRPr="007B7526">
        <w:rPr>
          <w:rFonts w:ascii="Times New Roman" w:eastAsia="Times New Roman" w:hAnsi="Times New Roman" w:cs="Times New Roman"/>
          <w:sz w:val="24"/>
          <w:szCs w:val="24"/>
          <w:lang w:eastAsia="en-IN"/>
        </w:rPr>
        <w:t xml:space="preserve">, </w:t>
      </w:r>
      <w:proofErr w:type="spellStart"/>
      <w:r w:rsidRPr="007B7526">
        <w:rPr>
          <w:rFonts w:ascii="Times New Roman" w:eastAsia="Times New Roman" w:hAnsi="Times New Roman" w:cs="Times New Roman"/>
          <w:sz w:val="24"/>
          <w:szCs w:val="24"/>
          <w:lang w:eastAsia="en-IN"/>
        </w:rPr>
        <w:t>Yongding</w:t>
      </w:r>
      <w:proofErr w:type="spellEnd"/>
      <w:r w:rsidRPr="007B7526">
        <w:rPr>
          <w:rFonts w:ascii="Times New Roman" w:eastAsia="Times New Roman" w:hAnsi="Times New Roman" w:cs="Times New Roman"/>
          <w:sz w:val="24"/>
          <w:szCs w:val="24"/>
          <w:lang w:eastAsia="en-IN"/>
        </w:rPr>
        <w:t xml:space="preserve">, </w:t>
      </w:r>
      <w:proofErr w:type="spellStart"/>
      <w:r w:rsidRPr="007B7526">
        <w:rPr>
          <w:rFonts w:ascii="Times New Roman" w:eastAsia="Times New Roman" w:hAnsi="Times New Roman" w:cs="Times New Roman"/>
          <w:sz w:val="24"/>
          <w:szCs w:val="24"/>
          <w:lang w:eastAsia="en-IN"/>
        </w:rPr>
        <w:t>Juma</w:t>
      </w:r>
      <w:proofErr w:type="spellEnd"/>
      <w:r w:rsidRPr="007B7526">
        <w:rPr>
          <w:rFonts w:ascii="Times New Roman" w:eastAsia="Times New Roman" w:hAnsi="Times New Roman" w:cs="Times New Roman"/>
          <w:sz w:val="24"/>
          <w:szCs w:val="24"/>
          <w:lang w:eastAsia="en-IN"/>
        </w:rPr>
        <w:t xml:space="preserve">, </w:t>
      </w:r>
      <w:proofErr w:type="spellStart"/>
      <w:r w:rsidRPr="007B7526">
        <w:rPr>
          <w:rFonts w:ascii="Times New Roman" w:eastAsia="Times New Roman" w:hAnsi="Times New Roman" w:cs="Times New Roman"/>
          <w:sz w:val="24"/>
          <w:szCs w:val="24"/>
          <w:lang w:eastAsia="en-IN"/>
        </w:rPr>
        <w:t>Beiyun</w:t>
      </w:r>
      <w:proofErr w:type="spellEnd"/>
      <w:r w:rsidRPr="007B7526">
        <w:rPr>
          <w:rFonts w:ascii="Times New Roman" w:eastAsia="Times New Roman" w:hAnsi="Times New Roman" w:cs="Times New Roman"/>
          <w:sz w:val="24"/>
          <w:szCs w:val="24"/>
          <w:lang w:eastAsia="en-IN"/>
        </w:rPr>
        <w:t xml:space="preserve"> and Ju rivers. Owing to rapid urbanization from the 1980s, the rivers had nearly dried up. They had water in the rainy season but there were major water quality issues as indicated by the lack of marine biodiversity. The groundwater levels in the region had dropped significantly.</w:t>
      </w:r>
    </w:p>
    <w:p w14:paraId="37F2EE65" w14:textId="77777777" w:rsidR="007B7526" w:rsidRPr="007B7526" w:rsidRDefault="007B7526" w:rsidP="007B7526">
      <w:pPr>
        <w:spacing w:before="100" w:beforeAutospacing="1" w:after="100" w:afterAutospacing="1" w:line="240" w:lineRule="auto"/>
        <w:rPr>
          <w:rFonts w:ascii="Times New Roman" w:eastAsia="Times New Roman" w:hAnsi="Times New Roman" w:cs="Times New Roman"/>
          <w:sz w:val="24"/>
          <w:szCs w:val="24"/>
          <w:lang w:eastAsia="en-IN"/>
        </w:rPr>
      </w:pPr>
      <w:r w:rsidRPr="007B7526">
        <w:rPr>
          <w:rFonts w:ascii="Times New Roman" w:eastAsia="Times New Roman" w:hAnsi="Times New Roman" w:cs="Times New Roman"/>
          <w:sz w:val="24"/>
          <w:szCs w:val="24"/>
          <w:lang w:eastAsia="en-IN"/>
        </w:rPr>
        <w:t>The Beijing River planning and design guidelines to manage and govern the water system in the city envisage coordinated governance across department at various levels, recognize the diversity of roles, consider the system as a whole and have a mechanism for citizen engagement. Different agencies have been assigned specific tasks to manage infrastructure, landscaping, etc., along with public participation.</w:t>
      </w:r>
    </w:p>
    <w:p w14:paraId="7DB06F28" w14:textId="77777777" w:rsidR="007B7526" w:rsidRPr="007B7526" w:rsidRDefault="007B7526" w:rsidP="007B7526">
      <w:pPr>
        <w:spacing w:before="100" w:beforeAutospacing="1" w:after="100" w:afterAutospacing="1" w:line="240" w:lineRule="auto"/>
        <w:rPr>
          <w:rFonts w:ascii="Times New Roman" w:eastAsia="Times New Roman" w:hAnsi="Times New Roman" w:cs="Times New Roman"/>
          <w:sz w:val="24"/>
          <w:szCs w:val="24"/>
          <w:lang w:eastAsia="en-IN"/>
        </w:rPr>
      </w:pPr>
      <w:r w:rsidRPr="007B7526">
        <w:rPr>
          <w:rFonts w:ascii="Times New Roman" w:eastAsia="Times New Roman" w:hAnsi="Times New Roman" w:cs="Times New Roman"/>
          <w:sz w:val="24"/>
          <w:szCs w:val="24"/>
          <w:lang w:eastAsia="en-IN"/>
        </w:rPr>
        <w:t>Beijing’s water demand was nearly 4 billion cubic metres (BCM) per year. Part of this was met through the South-North Inter-Basin Transfer Project with water from the Yangtze River. The Beijing Municipal Government stepped up efforts for protecting water bodies and treatment and reuse of polluted water. As a result, more than a fourth of the city’s water needs are met from recycled water. Beijing has a large network of sewers and treatment plants.</w:t>
      </w:r>
    </w:p>
    <w:p w14:paraId="74A542E5" w14:textId="77777777" w:rsidR="007B7526" w:rsidRPr="007B7526" w:rsidRDefault="007B7526" w:rsidP="007B7526">
      <w:pPr>
        <w:spacing w:before="100" w:beforeAutospacing="1" w:after="100" w:afterAutospacing="1" w:line="240" w:lineRule="auto"/>
        <w:rPr>
          <w:rFonts w:ascii="Times New Roman" w:eastAsia="Times New Roman" w:hAnsi="Times New Roman" w:cs="Times New Roman"/>
          <w:sz w:val="24"/>
          <w:szCs w:val="24"/>
          <w:lang w:eastAsia="en-IN"/>
        </w:rPr>
      </w:pPr>
      <w:r w:rsidRPr="007B7526">
        <w:rPr>
          <w:rFonts w:ascii="Times New Roman" w:eastAsia="Times New Roman" w:hAnsi="Times New Roman" w:cs="Times New Roman"/>
          <w:sz w:val="24"/>
          <w:szCs w:val="24"/>
          <w:lang w:eastAsia="en-IN"/>
        </w:rPr>
        <w:t>Other eco-restoration measures included managing floods by protecting the floodplains, plantations and preventing pollution from domestic sewage. For example, the construction boom created a demand for sand and gravel, that were mined from the rivers. The mined areas were rehabilitated through tree plantation and have become ecologically diverse recreation spaces. Water quality management has been improved to ensure downstream areas are not affected.</w:t>
      </w:r>
    </w:p>
    <w:p w14:paraId="6F31A6FB" w14:textId="5EEBBE55" w:rsidR="003E4ACE" w:rsidRPr="007B7526" w:rsidRDefault="007B7526" w:rsidP="007B7526">
      <w:pPr>
        <w:spacing w:before="100" w:beforeAutospacing="1" w:after="100" w:afterAutospacing="1" w:line="240" w:lineRule="auto"/>
        <w:rPr>
          <w:rFonts w:ascii="Times New Roman" w:eastAsia="Times New Roman" w:hAnsi="Times New Roman" w:cs="Times New Roman"/>
          <w:sz w:val="24"/>
          <w:szCs w:val="24"/>
          <w:lang w:eastAsia="en-IN"/>
        </w:rPr>
      </w:pPr>
      <w:r w:rsidRPr="007B7526">
        <w:rPr>
          <w:rFonts w:ascii="Times New Roman" w:eastAsia="Times New Roman" w:hAnsi="Times New Roman" w:cs="Times New Roman"/>
          <w:sz w:val="24"/>
          <w:szCs w:val="24"/>
          <w:lang w:eastAsia="en-IN"/>
        </w:rPr>
        <w:t xml:space="preserve">He gave two case studies of ecological river restoration. The first pertained to the </w:t>
      </w:r>
      <w:proofErr w:type="spellStart"/>
      <w:r w:rsidRPr="007B7526">
        <w:rPr>
          <w:rFonts w:ascii="Times New Roman" w:eastAsia="Times New Roman" w:hAnsi="Times New Roman" w:cs="Times New Roman"/>
          <w:sz w:val="24"/>
          <w:szCs w:val="24"/>
          <w:lang w:eastAsia="en-IN"/>
        </w:rPr>
        <w:t>Yongding</w:t>
      </w:r>
      <w:proofErr w:type="spellEnd"/>
      <w:r w:rsidRPr="007B7526">
        <w:rPr>
          <w:rFonts w:ascii="Times New Roman" w:eastAsia="Times New Roman" w:hAnsi="Times New Roman" w:cs="Times New Roman"/>
          <w:sz w:val="24"/>
          <w:szCs w:val="24"/>
          <w:lang w:eastAsia="en-IN"/>
        </w:rPr>
        <w:t xml:space="preserve"> River that flows through the Beijing and Tianjin municipalities, and the provinces of Shanxi and Hebei. The four provinces/municipalities signed an agreement to restore the river by 2025. The river was divided into the catchment, middle section and lower section and specific actions have been developed for each section. The second case is the </w:t>
      </w:r>
      <w:proofErr w:type="spellStart"/>
      <w:r w:rsidRPr="007B7526">
        <w:rPr>
          <w:rFonts w:ascii="Times New Roman" w:eastAsia="Times New Roman" w:hAnsi="Times New Roman" w:cs="Times New Roman"/>
          <w:sz w:val="24"/>
          <w:szCs w:val="24"/>
          <w:lang w:eastAsia="en-IN"/>
        </w:rPr>
        <w:t>Chaobai</w:t>
      </w:r>
      <w:proofErr w:type="spellEnd"/>
      <w:r w:rsidRPr="007B7526">
        <w:rPr>
          <w:rFonts w:ascii="Times New Roman" w:eastAsia="Times New Roman" w:hAnsi="Times New Roman" w:cs="Times New Roman"/>
          <w:sz w:val="24"/>
          <w:szCs w:val="24"/>
          <w:lang w:eastAsia="en-IN"/>
        </w:rPr>
        <w:t xml:space="preserve"> River, which is an important water source and urban flood control security barrier for the capital and is an important ecological corridor connecting the northern mountains and the </w:t>
      </w:r>
      <w:proofErr w:type="spellStart"/>
      <w:r w:rsidRPr="007B7526">
        <w:rPr>
          <w:rFonts w:ascii="Times New Roman" w:eastAsia="Times New Roman" w:hAnsi="Times New Roman" w:cs="Times New Roman"/>
          <w:sz w:val="24"/>
          <w:szCs w:val="24"/>
          <w:lang w:eastAsia="en-IN"/>
        </w:rPr>
        <w:t>southeastern</w:t>
      </w:r>
      <w:proofErr w:type="spellEnd"/>
      <w:r w:rsidRPr="007B7526">
        <w:rPr>
          <w:rFonts w:ascii="Times New Roman" w:eastAsia="Times New Roman" w:hAnsi="Times New Roman" w:cs="Times New Roman"/>
          <w:sz w:val="24"/>
          <w:szCs w:val="24"/>
          <w:lang w:eastAsia="en-IN"/>
        </w:rPr>
        <w:t xml:space="preserve"> plains. With the aim of ensuring flood control, increasing water </w:t>
      </w:r>
      <w:proofErr w:type="gramStart"/>
      <w:r w:rsidRPr="007B7526">
        <w:rPr>
          <w:rFonts w:ascii="Times New Roman" w:eastAsia="Times New Roman" w:hAnsi="Times New Roman" w:cs="Times New Roman"/>
          <w:sz w:val="24"/>
          <w:szCs w:val="24"/>
          <w:lang w:eastAsia="en-IN"/>
        </w:rPr>
        <w:t>sources</w:t>
      </w:r>
      <w:proofErr w:type="gramEnd"/>
      <w:r w:rsidRPr="007B7526">
        <w:rPr>
          <w:rFonts w:ascii="Times New Roman" w:eastAsia="Times New Roman" w:hAnsi="Times New Roman" w:cs="Times New Roman"/>
          <w:sz w:val="24"/>
          <w:szCs w:val="24"/>
          <w:lang w:eastAsia="en-IN"/>
        </w:rPr>
        <w:t xml:space="preserve"> and improving ecological water volume, the agreement took a series of measures including controlling the water environment and restoring the ecological environment, constructing an urban "sponge group", and building a solid ecological pattern of blue-green integration.</w:t>
      </w:r>
    </w:p>
    <w:sectPr w:rsidR="003E4ACE" w:rsidRPr="007B7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26"/>
    <w:rsid w:val="003E4ACE"/>
    <w:rsid w:val="007B75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6D40"/>
  <w15:chartTrackingRefBased/>
  <w15:docId w15:val="{FA242229-D26E-4C13-B978-C243463A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752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526"/>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7B752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Jacob</dc:creator>
  <cp:keywords/>
  <dc:description/>
  <cp:lastModifiedBy>Nitya Jacob</cp:lastModifiedBy>
  <cp:revision>1</cp:revision>
  <dcterms:created xsi:type="dcterms:W3CDTF">2022-08-30T03:58:00Z</dcterms:created>
  <dcterms:modified xsi:type="dcterms:W3CDTF">2022-08-30T03:59:00Z</dcterms:modified>
</cp:coreProperties>
</file>